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108.0" w:type="pc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6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Sanat-o-Tijarat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Zarik Khan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Sanat-o-tijarat@mkausa.org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630-309-2640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Reduce unemployment and underemployment in the Majlis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Learn at least one new skill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and maintain a network of Khuddam to encourage collaborative entrepreneurship.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95"/>
        <w:gridCol w:w="1230"/>
        <w:gridCol w:w="1335"/>
        <w:gridCol w:w="1500"/>
        <w:gridCol w:w="1215"/>
        <w:gridCol w:w="1275"/>
        <w:tblGridChange w:id="0">
          <w:tblGrid>
            <w:gridCol w:w="2340"/>
            <w:gridCol w:w="1095"/>
            <w:gridCol w:w="1230"/>
            <w:gridCol w:w="1335"/>
            <w:gridCol w:w="1500"/>
            <w:gridCol w:w="1215"/>
            <w:gridCol w:w="1275"/>
          </w:tblGrid>
        </w:tblGridChange>
      </w:tblGrid>
      <w:tr>
        <w:tc>
          <w:tcPr>
            <w:gridSpan w:val="7"/>
            <w:shd w:fill="000000" w:val="clear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b8cce4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GOALS IN DETAIL (This is from Local Majlis perspective)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Target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(to be used for Alme-e-Inami)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National Target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Funding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Due Date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Small 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Nazim should be signed up for careers.mkausa.org with an employer account in order to post jobs and should not be sending jobs to the National Team; they can now self-service using the website.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100% of all Majalis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By January 2018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Nazim should ensure all non-student Khuddam are signed up on the website as “candidates” and have a professional directory entry.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90%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75%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50% of the Majlis signed up on the site.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By May 2018.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Nazim should host a Sanat-o-Tijarat day for his local Majlis. Can be done at local or regional level. This can be in the form of a skills training, job fair, or a resume review/mock interview session.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 day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Every Region has at least 1 Majlis holding this event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National team will try to attend one of these per region, focus on small majalis where more motivation is needed. $3500 maximum account for travel to every region (will probably be less than this).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By year-end.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Nazim should be aware of the employment status, skills profile, and career/business aspirations of every Khadim in his Majlis. Should hold a one-on-one career conversation with every Khadim to find the needs.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90%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75%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By year-end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Nazim should encourage Khuddam to participate in the monthly webinars held by the Sanat-o-Tijarat team on various topics, which can also give them credit for learning skills.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35%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25% of Tajneed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By year-end</w:t>
            </w:r>
          </w:p>
        </w:tc>
      </w:tr>
    </w:tbl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after="200"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tl w:val="0"/>
        </w:rPr>
        <w:t xml:space="preserve"> (Monthly Reporting Questions - </w:t>
      </w:r>
      <w:r w:rsidDel="00000000" w:rsidR="00000000" w:rsidRPr="00000000">
        <w:rPr>
          <w:b w:val="1"/>
          <w:rtl w:val="0"/>
        </w:rPr>
        <w:t xml:space="preserve">questions cannot change throughout the year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Number of non-student unemployed Khuddam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Number of underemployed Khuddam (any Khuddam who are employed but working jobs that are below their existing skills)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Number of khuddam who have acquired a skill, craft or trade this month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74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15"/>
        <w:gridCol w:w="5730"/>
        <w:tblGridChange w:id="0">
          <w:tblGrid>
            <w:gridCol w:w="3015"/>
            <w:gridCol w:w="573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Nov 1st, 2017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Start of MKA Year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Jan-May 2018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Visits to local chapters/regions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Monthly (with some exceptions)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Skills Webinars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Local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call per quarter; monthly feedback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Local to Muhtatmim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Expected to attend Monthly Call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Muhtatmim to RQ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Issues will be escalated when necessary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Monthly Naibeen Call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Quarterly Call with Nazimeen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4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72"/>
        <w:gridCol w:w="4373"/>
        <w:tblGridChange w:id="0">
          <w:tblGrid>
            <w:gridCol w:w="4372"/>
            <w:gridCol w:w="4373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should a Local Nazim do to contribute toward the National Goals?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See “Goals” – all the goals are geared toward the local Nazimeen and their responsibilities.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b w:val="1"/>
                <w:color w:val="ffffff"/>
                <w:highlight w:val="black"/>
              </w:rPr>
            </w:pPr>
            <w:r w:rsidDel="00000000" w:rsidR="00000000" w:rsidRPr="00000000">
              <w:rPr>
                <w:rtl w:val="0"/>
              </w:rPr>
              <w:t xml:space="preserve">How can a Local Nazim obtain the “How-To” Guide for the dept goals?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On our website, </w:t>
            </w:r>
            <w:hyperlink r:id="rId5">
              <w:r w:rsidDel="00000000" w:rsidR="00000000" w:rsidRPr="00000000">
                <w:rPr>
                  <w:color w:val="0563c1"/>
                  <w:highlight w:val="white"/>
                  <w:u w:val="single"/>
                  <w:rtl w:val="0"/>
                </w:rPr>
                <w:t xml:space="preserve">http://careers.mkausa.org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other Local Majalis have done to be successful?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Held events without prompting from us, customized agenda of these events and began building their own local networks and job posting/searching mechanisms.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Who should a Local Nazim call for help?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Muhtamim – Zarik Khan – 630-309-2640</w:t>
            </w:r>
          </w:p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Naib Muhtamimeen</w:t>
              <w:br w:type="textWrapping"/>
              <w:t xml:space="preserve">Zeeshan Ahmed – 206-436-9913</w:t>
            </w:r>
          </w:p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Absar Alam – 347-263-0107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highlight w:val="white"/>
                <w:rtl w:val="0"/>
              </w:rPr>
              <w:t xml:space="preserve">Ahmad Tariq – 202-503-0878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  <w:color w:val="ffffff"/>
                <w:sz w:val="28"/>
                <w:szCs w:val="28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color w:val="ffffff"/>
          <w:sz w:val="28"/>
          <w:szCs w:val="28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48"/>
        <w:tblGridChange w:id="0">
          <w:tblGrid>
            <w:gridCol w:w="874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contextualSpacing w:val="0"/>
      <w:jc w:val="center"/>
      <w:rPr/>
    </w:pPr>
    <w:r w:rsidDel="00000000" w:rsidR="00000000" w:rsidRPr="00000000">
      <w:rPr>
        <w:b w:val="1"/>
        <w:sz w:val="36"/>
        <w:szCs w:val="36"/>
        <w:rtl w:val="0"/>
      </w:rPr>
      <w:t xml:space="preserve">2017-2018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careers.mkausa.org" TargetMode="Externa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