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8.0" w:type="pc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Tajneed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Ibrahim Chaudhry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hyperlink r:id="rId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tajneed@mkausa.org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(571) 278-3243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Achieve to maintain 100% accurate tajneed for all majalis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Nazimeen to actively engage with their membership and collect information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b8cce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Tajneed reconciled and updates sent to National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Every 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Every 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Every 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All Majalis reconciling their tajneed  throughout the 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 – can be requested through local Qaid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Check monthly for reports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</w:t>
      </w:r>
      <w:r w:rsidDel="00000000" w:rsidR="00000000" w:rsidRPr="00000000">
        <w:rPr>
          <w:b w:val="1"/>
          <w:rtl w:val="0"/>
        </w:rPr>
        <w:t xml:space="preserve">questions cannot change throughout the year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Have you reconciled your tajneed this month? Yes or No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If answer is yes, have you sent the updates to the National team at tajneed@ahmadiyya and </w:t>
            </w: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tajneed@mkausa.org</w:t>
              </w:r>
            </w:hyperlink>
            <w:r w:rsidDel="00000000" w:rsidR="00000000" w:rsidRPr="00000000">
              <w:rPr>
                <w:rtl w:val="0"/>
              </w:rPr>
              <w:t xml:space="preserve">? Yes or No or N/A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Nov 1st, 2016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 of MKA Year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Nov 2017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All Nazimeen Tajneed to be contacted, added to Nazimeen telegram group and brief on the tajneed update process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Nov 2017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Q1 Start Tajneed Reconciliation, track every majlis reconciliation, work with Local Nazim to ensure data is being collected and updated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Nov 2017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Review and start development of the new app, build timeline and share with Sadr Majlis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Review tajneed data, and provide feedback to majalis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Quarterly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Provide a tajneed snapshot to Sadr Majlis and National Amila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quarter;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Expected to attend Monthly Call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Issues will be escalated when necessary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2"/>
        <w:gridCol w:w="4373"/>
        <w:tblGridChange w:id="0">
          <w:tblGrid>
            <w:gridCol w:w="4372"/>
            <w:gridCol w:w="437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should a Local Nazim do to contribute toward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Local Nazim should follow tajneed update process locally every month and report issues/concerns to local Qaid and escalate to National if necessary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b w:val="1"/>
                <w:color w:val="ffffff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 guide will be posted on MKA USA website under Tajneed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other Local Majalis have done to be successful?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Maintain a good relationship with local Jamaat leadership and seek guidance on updating records, work with local finance secretary sahib in updating Khuddam and Atfal tajneed</w:t>
            </w:r>
          </w:p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Naib Muhtamim assigned to his region, if no response contact Muhtamim sahib directly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tajneed@mkausa.org" TargetMode="External"/><Relationship Id="rId6" Type="http://schemas.openxmlformats.org/officeDocument/2006/relationships/hyperlink" Target="mailto:tajneed@mkausa.org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