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108.0" w:type="pc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Waqar Bajwa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maal@mkausa.org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925-525-9297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Increase Participation. Approved Shura Proposal Target 80% Participation.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Encourage Khuddam to pay Chanda according to Prescribed Rate.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Start a web page for Chanda Collection. (Work in Progress)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b8cce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Target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Participation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10/31/18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Collection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10/31/18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Income Budget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8/15/18</w:t>
            </w:r>
          </w:p>
        </w:tc>
      </w:tr>
    </w:tbl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</w:t>
      </w:r>
      <w:r w:rsidDel="00000000" w:rsidR="00000000" w:rsidRPr="00000000">
        <w:rPr>
          <w:b w:val="1"/>
          <w:rtl w:val="0"/>
        </w:rPr>
        <w:t xml:space="preserve">questions cannot change throughout the year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22222"/>
                <w:sz w:val="19"/>
                <w:szCs w:val="19"/>
                <w:highlight w:val="white"/>
                <w:rtl w:val="0"/>
              </w:rPr>
              <w:t xml:space="preserve">How many khuddam did Qaid or Nazim Maal visit this month who have not paid their Chanda in full?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Jan 31,2018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Q1 End: Target 25% Participation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Apr 30,2018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Q2 End: Target 50% Participation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July 31,2018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Q3 End: Target 75% Participation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Oct 31,2018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Q4 End: Target 80-100% Participation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June 15,2018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FY 2018-19 Income Budget Prep Start Date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Aug 15, 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FY 2018-19 Income Budget Due Date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month;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Expected to attend Monthly Call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  <w:t xml:space="preserve">Quarterly calls with RQ, Qaideen and Local Nazimeen to discuss the progress</w:t>
            </w:r>
          </w:p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 Issues will be escalated when necessary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5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72.5"/>
        <w:gridCol w:w="4372.5"/>
        <w:tblGridChange w:id="0">
          <w:tblGrid>
            <w:gridCol w:w="4372.5"/>
            <w:gridCol w:w="4372.5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should a Local Nazim do to contribute toward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Increase Participation.</w:t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b w:val="1"/>
                <w:color w:val="ffffff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Available on mkausa.org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other Local Majalis have done to be successful?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 consistent in reminding Atfal and Khuddam about Chanda and increase participation.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Muhtamim or Regional Nazim Maal sb.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Chanda Portal: www.finance.mkausa.org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Expense Portal: www.mian5.net/mka_expense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Maal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