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44444"/>
          <w:sz w:val="20"/>
          <w:szCs w:val="20"/>
          <w:rtl w:val="0"/>
        </w:rPr>
        <w:t xml:space="preserve">https://goo.gl/Ghgfid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Tabligh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Imam Faran Rabbani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tabligh@mkausa.org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202-322-9014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Department Goals</w:t>
      </w:r>
      <w:r w:rsidDel="00000000" w:rsidR="00000000" w:rsidRPr="00000000">
        <w:rPr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Increase regularity of Tabligh events (MAM and Holy Quran Exhibitions)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National Meet A Muslim Day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Increased emphasis on flyer distribution at all Tabligh events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Provide training for Khuddam pertaining to Tabligh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Keep track of Tabligh contacts and add 200 new contacts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Obtain a minimum of 100 Bai’ats 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Videos of Converts: At least 20 videos covering the stories of new converts will be published on YouTube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8. 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 Khuddam Tabligh Conference per region should be held. Organized by the National Tabligh Department of MKA with young missionaries as presenters.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095"/>
        <w:gridCol w:w="1230"/>
        <w:gridCol w:w="1335"/>
        <w:gridCol w:w="1500"/>
        <w:gridCol w:w="1215"/>
        <w:gridCol w:w="1275"/>
        <w:tblGridChange w:id="0">
          <w:tblGrid>
            <w:gridCol w:w="2340"/>
            <w:gridCol w:w="1095"/>
            <w:gridCol w:w="1230"/>
            <w:gridCol w:w="1335"/>
            <w:gridCol w:w="1500"/>
            <w:gridCol w:w="1215"/>
            <w:gridCol w:w="1275"/>
          </w:tblGrid>
        </w:tblGridChange>
      </w:tblGrid>
      <w:tr>
        <w:tc>
          <w:tcPr>
            <w:gridSpan w:val="7"/>
            <w:shd w:fill="000000" w:val="clear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b8cce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   GOALS IN DETAIL (This is from Local Majlis perspective)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 be used for Alme-e-Inami)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Target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Funding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Due Date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Small 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Meet A Muslim, Emphasis on flyer distribution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1/month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1/month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1/month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All 1/month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Monthly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Holy Quran Exhibitions to be held, Exhibition will be provided by the National Team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1/year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1/year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1/year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 total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Will be Provided by Tabligh Department of Jama’at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Yearly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National Meet a Muslim Day, Emphasis on flyer distribution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2/year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2/year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2/year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Two for 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March 11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&amp; Sep 9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2018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Tabligh training to be provided with Tabligh handbook and weekly online Tabligh courses. Guidebook will be an FAQ regarding Tabligh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Regional Khuddam Tabligh Conferences to be organized and held 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1/region per 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1/region per 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1/region per year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All Regions to Hold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Still Being Decided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Still Being Decided</w:t>
            </w:r>
          </w:p>
        </w:tc>
      </w:tr>
    </w:tbl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Local Implementation</w:t>
      </w:r>
      <w:r w:rsidDel="00000000" w:rsidR="00000000" w:rsidRPr="00000000">
        <w:rPr>
          <w:rtl w:val="0"/>
        </w:rPr>
        <w:t xml:space="preserve"> (Monthly Reporting Questions - </w:t>
      </w:r>
      <w:r w:rsidDel="00000000" w:rsidR="00000000" w:rsidRPr="00000000">
        <w:rPr>
          <w:b w:val="1"/>
          <w:rtl w:val="0"/>
        </w:rPr>
        <w:t xml:space="preserve">questions cannot change throughout the year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Did you hold a “Meet a Muslim” this month?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flyers were distributed this month?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new tabligh Contacts made this month? please share contact info details in the comment section.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1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bai’ats happened through Khuddam efforts? please share contact info details in the comment section.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Key Dates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10"/>
        <w:gridCol w:w="7038"/>
        <w:tblGridChange w:id="0">
          <w:tblGrid>
            <w:gridCol w:w="1710"/>
            <w:gridCol w:w="703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March 11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, 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First National Meet A Muslim Day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September 9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, 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Second National Meet A Muslim Day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To be Decided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Regional Khuddam Tabligh Conference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 be Decided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Annual Holy Qur’an Exhibition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Communication Plan </w:t>
      </w:r>
      <w:r w:rsidDel="00000000" w:rsidR="00000000" w:rsidRPr="00000000">
        <w:rPr>
          <w:rtl w:val="0"/>
        </w:rPr>
        <w:t xml:space="preserve">(add more as necessary)</w:t>
      </w: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Local Nazim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One call per quarter; monthly feedback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Regional Nazim to Local Nazim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One call per month; monthly feedback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Regional Nazim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One call per month; monthly feedback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Telegram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All local and regional nazimeen tabligh should be part of the national tabligh group.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Success Factors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45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72"/>
        <w:gridCol w:w="4373"/>
        <w:tblGridChange w:id="0">
          <w:tblGrid>
            <w:gridCol w:w="4372"/>
            <w:gridCol w:w="4373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should a Local Nazim do to contribute towards the National Goals?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ffffff"/>
                <w:highlight w:val="black"/>
              </w:rPr>
            </w:pPr>
            <w:r w:rsidDel="00000000" w:rsidR="00000000" w:rsidRPr="00000000">
              <w:rPr>
                <w:color w:val="ffffff"/>
                <w:highlight w:val="black"/>
                <w:rtl w:val="0"/>
              </w:rPr>
              <w:t xml:space="preserve">Have flyers on hand and if not then request prior to any events. 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b w:val="1"/>
                <w:color w:val="ffffff"/>
                <w:highlight w:val="black"/>
              </w:rPr>
            </w:pPr>
            <w:r w:rsidDel="00000000" w:rsidR="00000000" w:rsidRPr="00000000">
              <w:rPr>
                <w:rtl w:val="0"/>
              </w:rPr>
              <w:t xml:space="preserve">How can a Local Nazim obtain the “How-To” Guide for the dept goals?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ffffff"/>
                <w:highlight w:val="black"/>
              </w:rPr>
            </w:pPr>
            <w:r w:rsidDel="00000000" w:rsidR="00000000" w:rsidRPr="00000000">
              <w:rPr>
                <w:color w:val="ffffff"/>
                <w:highlight w:val="black"/>
                <w:rtl w:val="0"/>
              </w:rPr>
              <w:t xml:space="preserve">Tabligh handbook will be available to all Qaideen and Nazim Tabligh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Who should a Local Nazim call for help?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ffffff"/>
                <w:highlight w:val="black"/>
              </w:rPr>
            </w:pPr>
            <w:r w:rsidDel="00000000" w:rsidR="00000000" w:rsidRPr="00000000">
              <w:rPr>
                <w:color w:val="ffffff"/>
                <w:highlight w:val="black"/>
                <w:rtl w:val="0"/>
              </w:rPr>
              <w:t xml:space="preserve">Regional Nazim first, if the need be then Mohtamim Tabligh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Communication and consistency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ffffff"/>
                <w:highlight w:val="black"/>
              </w:rPr>
            </w:pPr>
            <w:r w:rsidDel="00000000" w:rsidR="00000000" w:rsidRPr="00000000">
              <w:rPr>
                <w:color w:val="ffffff"/>
                <w:highlight w:val="black"/>
                <w:rtl w:val="0"/>
              </w:rPr>
              <w:t xml:space="preserve">Meet your tabligh deadlines 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Other References</w:t>
      </w:r>
      <w:r w:rsidDel="00000000" w:rsidR="00000000" w:rsidRPr="00000000">
        <w:rPr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www.MeetAMuslim.us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www.mkausa.org/departments/tabligh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contextualSpacing w:val="0"/>
      <w:jc w:val="center"/>
      <w:rPr/>
    </w:pPr>
    <w:r w:rsidDel="00000000" w:rsidR="00000000" w:rsidRPr="00000000">
      <w:rPr>
        <w:b w:val="1"/>
        <w:sz w:val="36"/>
        <w:szCs w:val="36"/>
        <w:rtl w:val="0"/>
      </w:rPr>
      <w:t xml:space="preserve">2017-2018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